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12" w:rsidRPr="00C17F12" w:rsidRDefault="00C17F12" w:rsidP="00C17F12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  <w:bookmarkStart w:id="0" w:name="_GoBack"/>
      <w:bookmarkEnd w:id="0"/>
      <w:r w:rsidRPr="00C17F12">
        <w:rPr>
          <w:rFonts w:ascii="Trebuchet MS" w:eastAsia="Times New Roman" w:hAnsi="Trebuchet MS" w:cs="Tahoma"/>
          <w:sz w:val="28"/>
          <w:szCs w:val="28"/>
          <w:lang w:eastAsia="ar-SA"/>
        </w:rPr>
        <w:t>Klasa VII</w:t>
      </w:r>
      <w:r w:rsidR="004C67B9">
        <w:rPr>
          <w:rFonts w:ascii="Trebuchet MS" w:eastAsia="Times New Roman" w:hAnsi="Trebuchet MS" w:cs="Tahoma"/>
          <w:sz w:val="28"/>
          <w:szCs w:val="28"/>
          <w:lang w:eastAsia="ar-SA"/>
        </w:rPr>
        <w:t>I</w:t>
      </w:r>
    </w:p>
    <w:p w:rsidR="00C17F12" w:rsidRPr="00C17F12" w:rsidRDefault="00C17F12" w:rsidP="00C17F12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  <w:r w:rsidRPr="00C17F12">
        <w:rPr>
          <w:rFonts w:ascii="Trebuchet MS" w:eastAsia="Times New Roman" w:hAnsi="Trebuchet MS" w:cs="Tahoma"/>
          <w:sz w:val="28"/>
          <w:szCs w:val="28"/>
          <w:lang w:eastAsia="ar-SA"/>
        </w:rPr>
        <w:t xml:space="preserve">Wymagania opracowane na podstawie materiałów katechetycznych </w:t>
      </w:r>
      <w:r w:rsidRPr="00C17F12">
        <w:rPr>
          <w:rFonts w:ascii="Trebuchet MS" w:eastAsia="Trebuchet MS" w:hAnsi="Trebuchet MS" w:cs="Trebuchet MS"/>
          <w:sz w:val="28"/>
          <w:szCs w:val="28"/>
          <w:lang w:eastAsia="ar-SA"/>
        </w:rPr>
        <w:t>„</w:t>
      </w:r>
      <w:r w:rsidRPr="00C17F12">
        <w:rPr>
          <w:rFonts w:ascii="Trebuchet MS" w:eastAsia="Times New Roman" w:hAnsi="Trebuchet MS" w:cs="Tahoma"/>
          <w:sz w:val="28"/>
          <w:szCs w:val="28"/>
          <w:lang w:eastAsia="ar-SA"/>
        </w:rPr>
        <w:t>Jezus działa i zbawia</w:t>
      </w:r>
      <w:r w:rsidRPr="00C17F12">
        <w:rPr>
          <w:rFonts w:ascii="Trebuchet MS" w:eastAsia="Times New Roman" w:hAnsi="Trebuchet MS" w:cs="TimesNewRomanPSMT"/>
          <w:sz w:val="28"/>
          <w:szCs w:val="28"/>
          <w:lang w:eastAsia="ar-SA"/>
        </w:rPr>
        <w:t xml:space="preserve">” </w:t>
      </w:r>
      <w:r w:rsidRPr="00C17F12">
        <w:rPr>
          <w:rFonts w:ascii="Trebuchet MS" w:eastAsia="Times New Roman" w:hAnsi="Trebuchet MS" w:cs="TimesNewRomanPSMT"/>
          <w:sz w:val="28"/>
          <w:szCs w:val="28"/>
          <w:lang w:eastAsia="ar-SA"/>
        </w:rPr>
        <w:br/>
      </w:r>
      <w:r w:rsidRPr="00C17F12">
        <w:rPr>
          <w:rFonts w:ascii="Trebuchet MS" w:eastAsia="Times New Roman" w:hAnsi="Trebuchet MS" w:cs="TimesNewRomanPSMT"/>
          <w:b/>
          <w:sz w:val="28"/>
          <w:szCs w:val="28"/>
          <w:lang w:eastAsia="ar-SA"/>
        </w:rPr>
        <w:t xml:space="preserve">oraz katechezy    </w:t>
      </w:r>
    </w:p>
    <w:p w:rsidR="00C17F12" w:rsidRPr="00C17F12" w:rsidRDefault="00C17F12" w:rsidP="00C17F12">
      <w:pPr>
        <w:suppressAutoHyphens/>
        <w:autoSpaceDE w:val="0"/>
        <w:rPr>
          <w:rFonts w:ascii="Trebuchet MS" w:eastAsia="Times New Roman" w:hAnsi="Trebuchet MS" w:cs="Tahoma"/>
          <w:sz w:val="28"/>
          <w:szCs w:val="28"/>
          <w:lang w:eastAsia="ar-SA"/>
        </w:rPr>
      </w:pPr>
      <w:r w:rsidRPr="00C17F12">
        <w:rPr>
          <w:rFonts w:ascii="Trebuchet MS" w:eastAsia="Times New Roman" w:hAnsi="Trebuchet MS" w:cs="TimesNewRomanPSMT"/>
          <w:b/>
          <w:sz w:val="28"/>
          <w:szCs w:val="28"/>
          <w:lang w:eastAsia="ar-SA"/>
        </w:rPr>
        <w:t xml:space="preserve">                              dodatkowe z</w:t>
      </w:r>
      <w:r w:rsidRPr="00C17F12">
        <w:rPr>
          <w:rFonts w:ascii="Trebuchet MS" w:eastAsia="Times New Roman" w:hAnsi="Trebuchet MS" w:cs="TimesNewRomanPSMT"/>
          <w:sz w:val="28"/>
          <w:szCs w:val="28"/>
          <w:lang w:eastAsia="ar-SA"/>
        </w:rPr>
        <w:t>wiązane z przygotowaniem do bierzmowania na rok 2019/2020</w:t>
      </w:r>
    </w:p>
    <w:p w:rsidR="00C17F12" w:rsidRPr="00C17F12" w:rsidRDefault="00C17F12" w:rsidP="00C17F12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  <w:r w:rsidRPr="00C17F12">
        <w:rPr>
          <w:rFonts w:ascii="Trebuchet MS" w:eastAsia="Times New Roman" w:hAnsi="Trebuchet MS" w:cs="Tahoma"/>
          <w:sz w:val="28"/>
          <w:szCs w:val="28"/>
          <w:lang w:eastAsia="ar-SA"/>
        </w:rPr>
        <w:t xml:space="preserve">      Zgodny  z Programem nauczania religii </w:t>
      </w:r>
      <w:r w:rsidRPr="00C17F12">
        <w:rPr>
          <w:rFonts w:ascii="Trebuchet MS" w:eastAsia="Trebuchet MS" w:hAnsi="Trebuchet MS" w:cs="Trebuchet MS"/>
          <w:sz w:val="28"/>
          <w:szCs w:val="28"/>
          <w:lang w:eastAsia="ar-SA"/>
        </w:rPr>
        <w:t>„</w:t>
      </w:r>
      <w:r w:rsidRPr="00C17F12">
        <w:rPr>
          <w:rFonts w:ascii="Trebuchet MS" w:eastAsia="Times New Roman" w:hAnsi="Trebuchet MS" w:cs="Tahoma"/>
          <w:sz w:val="28"/>
          <w:szCs w:val="28"/>
          <w:lang w:eastAsia="ar-SA"/>
        </w:rPr>
        <w:t>Pójść za Jezusem Chrystusem</w:t>
      </w:r>
      <w:r w:rsidRPr="00C17F12">
        <w:rPr>
          <w:rFonts w:ascii="Trebuchet MS" w:eastAsia="Times New Roman" w:hAnsi="Trebuchet MS" w:cs="TimesNewRomanPSMT"/>
          <w:sz w:val="28"/>
          <w:szCs w:val="28"/>
          <w:lang w:eastAsia="ar-SA"/>
        </w:rPr>
        <w:t>”</w:t>
      </w:r>
      <w:r w:rsidRPr="00C17F12">
        <w:rPr>
          <w:rFonts w:ascii="Trebuchet MS" w:eastAsia="Times New Roman" w:hAnsi="Trebuchet MS" w:cs="Tahoma"/>
          <w:sz w:val="28"/>
          <w:szCs w:val="28"/>
          <w:lang w:eastAsia="ar-SA"/>
        </w:rPr>
        <w:t xml:space="preserve"> </w:t>
      </w:r>
    </w:p>
    <w:p w:rsidR="00C17F12" w:rsidRPr="00C17F12" w:rsidRDefault="00C17F12" w:rsidP="00C17F12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  <w:r w:rsidRPr="00C17F12">
        <w:rPr>
          <w:rFonts w:ascii="Trebuchet MS" w:eastAsia="Times New Roman" w:hAnsi="Trebuchet MS" w:cs="Tahoma"/>
          <w:sz w:val="28"/>
          <w:szCs w:val="28"/>
          <w:lang w:eastAsia="ar-SA"/>
        </w:rPr>
        <w:t>nr AZ-3-01/10 z 9.06.2010 r.</w:t>
      </w:r>
    </w:p>
    <w:p w:rsidR="00C17F12" w:rsidRPr="00C17F12" w:rsidRDefault="00C17F12" w:rsidP="00C17F12">
      <w:pPr>
        <w:suppressAutoHyphens/>
        <w:autoSpaceDE w:val="0"/>
        <w:rPr>
          <w:rFonts w:ascii="Trebuchet MS" w:eastAsia="Times New Roman" w:hAnsi="Trebuchet MS" w:cs="Tahoma"/>
          <w:b/>
          <w:bCs/>
          <w:sz w:val="22"/>
          <w:szCs w:val="22"/>
          <w:lang w:eastAsia="ar-SA"/>
        </w:rPr>
      </w:pPr>
    </w:p>
    <w:tbl>
      <w:tblPr>
        <w:tblW w:w="1490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411"/>
        <w:gridCol w:w="141"/>
        <w:gridCol w:w="3402"/>
        <w:gridCol w:w="284"/>
        <w:gridCol w:w="2977"/>
        <w:gridCol w:w="5690"/>
      </w:tblGrid>
      <w:tr w:rsidR="00C17F12" w:rsidRPr="00C17F12" w:rsidTr="00E8734B">
        <w:trPr>
          <w:trHeight w:val="35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Temat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Wymagania</w:t>
            </w:r>
          </w:p>
        </w:tc>
        <w:tc>
          <w:tcPr>
            <w:tcW w:w="5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i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 xml:space="preserve">Treści </w:t>
            </w:r>
            <w:r w:rsidRPr="00C17F12">
              <w:rPr>
                <w:rFonts w:ascii="Trebuchet MS" w:eastAsia="Times New Roman" w:hAnsi="Trebuchet MS" w:cs="Tahoma"/>
                <w:b/>
                <w:bCs/>
                <w:i/>
                <w:sz w:val="22"/>
                <w:szCs w:val="22"/>
                <w:lang w:eastAsia="ar-SA"/>
              </w:rPr>
              <w:t>Podstawy programowej</w:t>
            </w:r>
          </w:p>
          <w:p w:rsidR="00C17F12" w:rsidRPr="00C17F12" w:rsidRDefault="00C17F12" w:rsidP="00C17F12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[wymagania ogólne i szczegółowe]</w:t>
            </w:r>
          </w:p>
          <w:p w:rsidR="00C17F12" w:rsidRPr="00C17F12" w:rsidRDefault="00C17F12" w:rsidP="00C17F12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rPr>
          <w:trHeight w:val="58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podstawowe</w:t>
            </w:r>
          </w:p>
          <w:p w:rsidR="00C17F12" w:rsidRPr="00C17F12" w:rsidRDefault="00C17F12" w:rsidP="00C17F12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Uczeń: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ponadpodstawowe</w:t>
            </w:r>
          </w:p>
          <w:p w:rsidR="00C17F12" w:rsidRPr="00C17F12" w:rsidRDefault="00C17F12" w:rsidP="00C17F12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Uczeń:</w:t>
            </w:r>
          </w:p>
        </w:tc>
        <w:tc>
          <w:tcPr>
            <w:tcW w:w="5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rPr>
          <w:trHeight w:val="621"/>
        </w:trPr>
        <w:tc>
          <w:tcPr>
            <w:tcW w:w="1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 xml:space="preserve">Rozdział I. 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Człowiek w drodze do Boga</w:t>
            </w: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 xml:space="preserve">1. 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Człowiek pragnie szczęścia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Ukazanie nowości ewangelicznego rozumienia szczęścia</w:t>
            </w: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</w:t>
            </w: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 uzasadnia, na czym polega specyfika szczęścia ukazanego przez Jezusa;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uzasadnia, że ewangeliczne błogosławieństwa wymagają wiary w Jezusa zmartwychwstałego.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wyjaśnia znaczenie poszczególnych błogosławieństw 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Mt 5,1-11)</w:t>
            </w: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interpretuje błogosławieństwa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w kontekście współczesnych problemów nastolatka.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przedstawia związek wiary chrześcijańskiej </w:t>
            </w:r>
          </w:p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z wyjaśnieniem sensu życia człowieka;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uzasadnia koncepcję szczęścia zawartą w </w:t>
            </w:r>
            <w:r w:rsidRPr="00C17F12">
              <w:rPr>
                <w:rFonts w:ascii="Trebuchet MS" w:eastAsia="TimesNewRomanPS-ItalicMT" w:hAnsi="Trebuchet MS" w:cs="TimesNewRomanPS-ItalicMT"/>
                <w:i/>
                <w:iCs/>
                <w:sz w:val="22"/>
                <w:szCs w:val="22"/>
                <w:lang w:eastAsia="ar-SA"/>
              </w:rPr>
              <w:t>Ośmiu Błogosławieństwach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wykazuje związek między życiem </w:t>
            </w:r>
            <w:r w:rsidRPr="00C17F12">
              <w:rPr>
                <w:rFonts w:ascii="Trebuchet MS" w:eastAsia="TimesNewRomanPS-ItalicMT" w:hAnsi="Trebuchet MS" w:cs="TimesNewRomanPS-ItalicMT"/>
                <w:i/>
                <w:iCs/>
                <w:sz w:val="22"/>
                <w:szCs w:val="22"/>
                <w:lang w:eastAsia="ar-SA"/>
              </w:rPr>
              <w:t xml:space="preserve">Błogosławieństwami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życiem w łasce Bożej.</w:t>
            </w:r>
          </w:p>
        </w:tc>
      </w:tr>
      <w:tr w:rsidR="00C17F12" w:rsidRPr="00C17F12" w:rsidTr="00E8734B">
        <w:trPr>
          <w:trHeight w:val="170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 xml:space="preserve">2. 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Człowiek szuka szczęścia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biblijnym znaczeniem pojęcia „szczęście”</w:t>
            </w: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Bóg jest szczęściem człowieka, bo Bóg jest Miłością;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Pan Bóg pragnie szczęścia człowieka.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wyjaśnia, dlaczego w Jezusie Bóg najpełniej okazał, na czym polega szczęście;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biblijne synonimy szczęścia.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ukazuje trudności w wierze oraz sposoby ich przezwyciężania;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przedstawia związek wiary chrześcijańskiej 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z wyjaśnieniem sensu życia człowieka;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 uzasadnia podstawowe implikacje dla życia chrześcijanina wynikające z Wcielenia i Odkupienia.</w:t>
            </w:r>
          </w:p>
        </w:tc>
      </w:tr>
      <w:tr w:rsidR="00C17F12" w:rsidRPr="00C17F12" w:rsidTr="00E8734B">
        <w:trPr>
          <w:trHeight w:val="9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b/>
                <w:sz w:val="22"/>
                <w:szCs w:val="22"/>
                <w:lang w:eastAsia="ar-SA"/>
              </w:rPr>
              <w:t xml:space="preserve">3. 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Bóg stworzył człowieka do szczęścia</w:t>
            </w:r>
            <w:r w:rsidRPr="00C17F12">
              <w:rPr>
                <w:rFonts w:ascii="Trebuchet MS" w:eastAsia="Times New Roman" w:hAnsi="Trebuchet MS" w:cs="Trebuchet MS"/>
                <w:b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Ukazanie działania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lastRenderedPageBreak/>
              <w:t xml:space="preserve">Boga w historii zbawienia jako troski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 szczęście człowieka)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lastRenderedPageBreak/>
              <w:t>- wymienia starotestamentalne wydarzenia, które świadczą o tym, że Pan Bóg pragnie szczęścia człowieka;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lastRenderedPageBreak/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uzasadnia, że w osiągnięciu szczęścia nadprzyrodzonego konieczne są: wiara, zaufanie i posłuszeństwo Bogu.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lastRenderedPageBreak/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wyjaśnia, że Pan Bóg udziela człowiekowi swego błogosławieństwa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także w sytuacjach trudnych  i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lastRenderedPageBreak/>
              <w:t>dla niego niezrozumiałych;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interpretuje wydarzenia starotestamentalne  w kontekście błogosławieństw.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 xml:space="preserve">- charakteryzuje relację Bóg – człowiek; </w:t>
            </w: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 xml:space="preserve"> uzasadnia znaczenie wiary i jej przymiotów w życiu człowieka; </w:t>
            </w: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 xml:space="preserve">- przedstawia związek wiary chrześcijańskiej z </w:t>
            </w: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 xml:space="preserve">wyjaśnieniem sensu życia człowieka; </w:t>
            </w: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– charakteryzuje rolę pokory i pychy w odniesieniu do relacji Bóg – człowiek;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MinionPro-Bold"/>
                <w:bCs/>
                <w:sz w:val="22"/>
                <w:szCs w:val="22"/>
                <w:lang w:eastAsia="ar-SA"/>
              </w:rPr>
              <w:t>- przedstawia podstawowe wydarzenia należące do starotestamentowej historii zbawienia w porządku chronologicznym;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 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MinionPro-Bold"/>
                <w:bCs/>
                <w:sz w:val="22"/>
                <w:szCs w:val="22"/>
                <w:lang w:eastAsia="ar-SA"/>
              </w:rPr>
              <w:t>- dokonuje aktualizacji faktów związanych z wybranymi postaciami Starego Testamentu.</w:t>
            </w: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  <w:lastRenderedPageBreak/>
              <w:t xml:space="preserve">4. 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Bóg przez Jezusa obdarowuje szczęściem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ze znaczeniem Święta Podwyższenia Krzyża Świętego)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szczęścia nie można utożsamiać z powodzeniem, dobrobytem i zadowoleniem;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wyjaśnia odmienność potocznego  i religijnego rozumienia szczęścia.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sens noszenia znaków religijnych;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interpretuje biblijne opowiadania o męce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 śmierci Jezusa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kontekście ośmiu błogosławieństw.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interpretuje znaki, symbole liturgiczne oraz postawy występujące podczas liturgii;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 uzasadnia podstawowe implikacje dla życia chrześcijanina wynikające z Odkupienia;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dokonuje interpretacji literackiej i religijnej wybranych fragmentów biblijnych.</w:t>
            </w: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5. Człowiek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w drodze do Boga.</w:t>
            </w:r>
            <w:r w:rsidRPr="00C17F12"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  <w:t>Jednostka powtórkowa – rozdział 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(Odkrywanie prawdy, że Pan Bóg pragnie, by człowiek był szczęśliwy)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co znaczy być szczęśliwym według zamiarów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Pana Boga;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pracuje z obrazem (reprodukcją) przedstawiającym powołanie Abrahama.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posługując się poznanymi pojęciami;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odpowiada na proste pytania postawione do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ilustracji;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pozyskuje informacje z rożnych źródeł oraz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selekcjonuje je i porządkuje;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i w piśmie na tematy poruszane na zajęciach;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7F12" w:rsidRPr="00C17F12" w:rsidTr="00E8734B">
        <w:trPr>
          <w:trHeight w:val="571"/>
        </w:trPr>
        <w:tc>
          <w:tcPr>
            <w:tcW w:w="1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jc w:val="center"/>
              <w:rPr>
                <w:rFonts w:ascii="Trebuchet MS" w:eastAsia="SimSu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  <w:t xml:space="preserve">Rozdział II. </w:t>
            </w:r>
            <w:r w:rsidRPr="00C17F12">
              <w:rPr>
                <w:rFonts w:ascii="Trebuchet MS" w:eastAsia="SimSun" w:hAnsi="Trebuchet MS" w:cs="Ottawa-Bold"/>
                <w:b/>
                <w:bCs/>
                <w:sz w:val="22"/>
                <w:szCs w:val="22"/>
                <w:lang w:eastAsia="ar-SA"/>
              </w:rPr>
              <w:t>Jezus prowadzi do Emaus</w:t>
            </w: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6. Bóg dzieli się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z człowiekiem swoim szczęściem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Ukazanie Boga wspierającego ludzi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w osiąganiu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lastRenderedPageBreak/>
              <w:t>nadprzyrodzonego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szczęścia)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lastRenderedPageBreak/>
              <w:t>- wymienia sposoby obecności Jezusa zmartwychwstałego w naszym świecie;  </w:t>
            </w:r>
            <w:r w:rsidRPr="00C17F12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br/>
              <w:t xml:space="preserve">- uzasadnia, że Bóg przychodzi człowiekowi z pomocą w osiąganiu </w:t>
            </w:r>
            <w:r w:rsidRPr="00C17F12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lastRenderedPageBreak/>
              <w:t>szczęścia.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lastRenderedPageBreak/>
              <w:t>- interpretuje treść biblijnej perykopy (Łk 24, 13-35);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t xml:space="preserve">- interpretuje symbole drogi, łamania chleba, </w:t>
            </w:r>
            <w:r w:rsidRPr="00C17F12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lastRenderedPageBreak/>
              <w:t>powrotu do wspólnoty.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lastRenderedPageBreak/>
              <w:t>- dokonuje interpretacji literackiej i religijnej wybranych fragmentów biblijnych;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dokonuje aktualizacji faktów związanych z wybranymi postaciami Nowego Testamentu;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uzasadnia podstawowe implikacje dla życia chrześcijanina wynikające z Odkupienia.</w:t>
            </w: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  <w:lastRenderedPageBreak/>
              <w:t>7.</w:t>
            </w: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Bóg wprowadza człowieka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na drogę szczęścia wiecznego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(Przedstawienie teologii sakramentu chrztu)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 wymienia dary otrzymywane w sakramencie chrztu;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 wie, że konsekwencją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przyjętego chrztu jest obowiązek ustawicznego wzrastania i dojrzewania w wierze, nadziei i miłości.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 wyjaśnia znaczenie sakramentu chrztu;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 uzasadnia potrzebę udzielania chrztu na początku życia człowieka.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charakteryzuje cel poszczególnych sakramentów (chrzest).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8. Bóg pozwala rozpoznawać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szczęście wieczne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(Zapoznanie ze znaczeniem symboli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znaków towarzyszących udzielaniu sakramentu chrztu świętego)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symbole i znaki towarzyszące obrzędowi udzielania chrztu świętego;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symbole i znaki odsłaniają istotę poszczególnych sakramentów.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interpretuje religijne znaczenie symboli i znaków chrzcielnych;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rolę symboli  w odkrywania tajemnicy zbawczego działania Boga w sakramencie chrztu.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interpretuje znaki, symbole liturgiczne oraz postawy występujące podczas liturgii.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9. Bóg spełnia obietnicę szczęśliwego życia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znaczenia obchodów Uroczystości Wszystkich Świętych)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święci są dowodem na to, że Panu Bogu prawdziwie zależy na szczęściu człowieka;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Kościół obchodzi Uroczystość Wszystkich Świętych.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dostępność świętości dla wszystkich;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pojęcie świętości na wybranych przykładach.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  <w:t>- charakteryzuje istotę kultu świętych.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rPr>
          <w:trHeight w:val="18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10. Bóg umacnia decyzję człowieka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(Przedstawienie teologii sakramentu bierzmowania)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chrześcijanie wierzą, że nawet w najtrudniejszych chwilach swojego życia nie są sami;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skutki sakramentu bierzmowania.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uzasadnić potrzebę przyjęcia przez ochrzczonego sakramentu bierzmowania;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religijne znaczenie sakramentu bierzmowania.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charakteryzuje cel poszczegól</w:t>
            </w: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softHyphen/>
              <w:t>nych sakramentów (bierzmowanie);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opisuje skutki i konsekwencje egzystencjalne bierzmowania.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11. Bóg uczy człowieka odpowiedzialności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ze znaczeniem symboli  i znaków towarzyszących udzielaniu sakramentu bierzmowania)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symbole i znaki towarzyszące obrzędowi udzielania sakramentu bierzmowania;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elementy związane z udzielaniem sakramentu bierzmowania, które kojarzą się z udzielaniem sakramentu chrztu.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religijne znaczenie symboli i znaków sakramentu bierzmowania;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wyjaśnia rolę symboli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odkrywaniu tajemnicy zbawczego działania Boga w sakramencie bierzmowania.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charakteryzuje obrzędy bierzmowania;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interpretuje znaki, symbole liturgiczne oraz postawy występujące podczas liturgii.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rPr>
          <w:trHeight w:val="156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12. Bóg uobecnia tajemnicę szczęścia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(Przedstawienie teologii sakramentu Eucharystii)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wyjaśnia istotę Eucharystii;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wymienia różne określenia Eucharystii.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uzasadnia konieczność uczestniczenia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Eucharystii;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znaczenie różnych określeń Eucharystii.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charakteryzuje cel poszczególnych sakramentów (Eucharystia);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formułuje  argumenty za uczestnictwem w liturgii.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rPr>
          <w:trHeight w:val="18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13. Bóg objawia człowiekowi swoje zamiary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ze znaczeniem liturgii słowa)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wie, że przy „stole słowa” chrześcijanie spotykają się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Bogiem poprzez czytanie i rozważanie wybranych fragmentów Pisma Świętego Starego i Nowego Testamentu;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części liturgii słowa.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potrzebę słuchania i rozważania słowa Bożego podczas Eucharystii;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znaczenie dialogów prowadzonych w liturgii słowa.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charakteryzuje liturgię jako dialog Boga z człowiekiem (dar i odpowiedź).</w:t>
            </w: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14. Bóg karmi człowieka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istotą liturgii eucharystycznej)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wyjaśnia, co jest uobecniane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czasie sprawowania Eucharystii;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uzasadnia potrzebę spożywania Ciała Pańskiego;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wymienia warunki przystępowania do Komunii Świętej.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interpretuje religijne znaczenie symboli chleba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wina;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Jezus jest jedynym pokarmem ludzi pragnących życia wiecznego.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interpretuje znaki, symbole liturgiczne oraz postawy występujące podczas liturgii;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uzasadnia, dlaczego Eucharystia jest centrum liturgii i życia chrześcijańskiego;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wyjaśnia rozumienie Eucharystii jako uczty miłości.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15. Człowiek oczekuje spełnienia obietnic Boga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(Zapoznanie 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religijnym znaczeniem Adwentu)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charakteryzuje roraty;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potrzebę religijnego przeżywania Adwentu.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symbole  i znaki adwentowe;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wyjaśnia rolę liturgii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przeżywaniu Adwentu.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interpretuje znaki, symbole liturgiczne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oraz postawy występujące podczas liturgii;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przedstawia związek wiary chrześcijańskiej z wyjaśnieniem sensu życia człowieka.</w:t>
            </w: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16. Człowiek świętuje przyjście Boga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w Jezusie Chrystusie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(Świętowanie w grupie klasowej tajemnicy Bożego Narodzenia)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 w jaki sposób można po chrześcijańsku świętować Boże Narodzenie.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religijny wymiar Świąt Bożego Narodzenia.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17. Jezus prowadzi do Emaus.</w:t>
            </w:r>
            <w:r w:rsidRPr="00C17F12"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  <w:t>Jednostka powtórkowa – rozdział II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(Odkrywanie prawdy, że Pan Bóg przez Jezusa Chrystusa prowadzi człowieka do szczęścia)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czym jest szczęście, którym Pan Bóg obdarowuje chrześcijanina;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pracuje z obrazem (reprodukcją) przedstawiającym uczniów idących do Emaus.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 podstawowe implikacje dla życia chrześcijanina wynikające z Odkupienia;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posługując się poznanymi pojęciami;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odpowiada na proste pytania postawione do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ilustracji;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pozyskuje informacje z rożnych źródeł oraz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selekcjonuje je i porządkuje;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i w piśmie na tematy poruszane na zajęciach;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7F12" w:rsidRPr="00C17F12" w:rsidTr="00E8734B">
        <w:trPr>
          <w:trHeight w:val="636"/>
        </w:trPr>
        <w:tc>
          <w:tcPr>
            <w:tcW w:w="1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jc w:val="center"/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autoSpaceDE w:val="0"/>
              <w:jc w:val="center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  <w:t xml:space="preserve">Rozdział III. 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Jezus Chrystus uzdrawia</w:t>
            </w:r>
          </w:p>
        </w:tc>
      </w:tr>
      <w:tr w:rsidR="00C17F12" w:rsidRPr="00C17F12" w:rsidTr="00E8734B">
        <w:trPr>
          <w:trHeight w:val="17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18. Jezus Chrystus ratuje człowieka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(Ukazanie tajemnicy Bożego przebaczenia)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wiara jest konieczna, by dostąpić odpuszczania grzechów;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na czym polega przyniesiona przez Jezusa nowość w rozumieniu tajemnicy odpuszczania grzechów.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Jezus kontynuuje swoje uzdrawiające działanie;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interpretuje perykopę biblijną o uzdrowieniu paralityka (Łk 5,17-26).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dokonuje aktualizacji faktów związanych z wybranymi postaciami Nowego Testamentu;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uzasadnia podstawowe implikacje dla życia chrześcijanina wynikające z Wcielenia i Odkupienia;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charakteryzuje relację Bóg – człowiek;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charakteryzuje rolę pokory i pychy w odniesieniu do relacji Bóg– człowiek.</w:t>
            </w:r>
          </w:p>
        </w:tc>
      </w:tr>
      <w:tr w:rsidR="00C17F12" w:rsidRPr="00C17F12" w:rsidTr="00E8734B">
        <w:trPr>
          <w:trHeight w:val="19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19. Grzech niszczy jedność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rozbicia jedności Kościoła jako skutku grzechu)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przyczyną wszelkich konfliktów między ludźmi jest grzech; 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wyjaśnia, że przyczyną rozbicia jedności Kościoła jest grzech.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największe rozłamy w Kościele i podać ich skutki;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potrzebę działań ekumenicznych.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bCs/>
                <w:sz w:val="22"/>
                <w:szCs w:val="22"/>
                <w:lang w:eastAsia="ar-SA"/>
              </w:rPr>
              <w:t xml:space="preserve">– prezentuje przyczyny i przebieg </w:t>
            </w: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schizmy wschodniej;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 xml:space="preserve">– wyjaśnia różnice i podobieństwa katolicyzmu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i pozostałych głównych wyznań chrześcijańskich oraz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wskazuje perspektywy i granice ekumenizmu;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 xml:space="preserve">– wskazuje inicjatywy ekumeniczne podejmowane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w Kościele katolickim i innych Kościołach oraz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wspólnotach chrześcijańskich.</w:t>
            </w:r>
          </w:p>
        </w:tc>
      </w:tr>
      <w:tr w:rsidR="00C17F12" w:rsidRPr="00C17F12" w:rsidTr="00E8734B">
        <w:trPr>
          <w:trHeight w:val="25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20. Bóg uzdrawia człowieka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(Przedstawienie teologii sakramentu pokuty i pojednania)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wie, że w sakramencie pokuty i pojednania Jezus Chrystus przebacza człowiekowi jego grzechy, uzdrawia ze zła, które jest następstwem grzechu oraz ponownie włącza do wspólnoty 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Kościoła;  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dlaczego kapłan wypowiada słowa rozgrzeszenia.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wyjaśnia, dlaczego sakrament pokuty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 pojednania nazywany jest sakramentem uzdrowienia; 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br/>
              <w:t xml:space="preserve">- uzasadnia umieszczenie  w przykazaniu kościelnym zobowiązania do korzystania z sakramentu pokuty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pojednania przynajmniej raz w roku.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cel poszczególnych sakramentów (pokuta i pojednanie).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rPr>
          <w:trHeight w:val="21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21. Jezus Chrystus odpuszcza grzechy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(Zapoznanie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obrzędami udzielania sakramentu pokuty i pojednania)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części sakramentu pokuty i pojednania;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uzasadnia, że pojęcie „spowiedź” nie jest synonimem sakramentu pokuty i pojednania.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wyjaśnić, na czym polega rachunek sumienia i opisuje  w jaki sposób można go przeprowadzić;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istotę poszczególnych części sakramentu pokuty  i pojednania.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  <w:t>interpretuje znaki, symbole liturgiczne oraz postawy występujące podczas liturgii.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22. Jezus daruje kary za grzech </w:t>
            </w:r>
            <w:r w:rsidRPr="00C17F12">
              <w:rPr>
                <w:rFonts w:ascii="Trebuchet MS" w:eastAsia="Times New Roman" w:hAnsi="Trebuchet MS" w:cs="Ottawa-Bold"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Zapoznanie nauczaniem Kościoła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 odpustach)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definiuje pojęcie „odpust”;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różnicę pomiędzy odpustem zupełnym i cząstkowym.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warunki uzyskania odpustu;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potrzebę uzyskiwania odpustów.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bCs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charakteryzuje relację Bóg –człowiek.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23. Jezus wspomaga w cierpieniu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teologią i symboliką sakramentu namaszczenia chorych)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sakrament namaszczenia chorych jest też znakiem nadziei na powrót do zdrowia;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dary, jakich Jezus udziela w sakramencie chorych.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dlaczego sakramentu chorych nie należy nazywać „ostatnim namaszczeniem”;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obrzędów sakramentu chorych.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cel poszczególnych sakramentów (namaszczenie chorych);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namaszczenie chorych to dar i pomoc w przeżywaniu cierpienia.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24. Kościół uczy rozwijać Boże życie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 xml:space="preserve"> 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teologią Wielkiego Postu)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praktyki wielkopostne;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wymienia przykazania kościelne bezpośrednio związane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okresem Wielkiego Postu.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okresu Wielkiego Postu;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związek Wielkiego Postu z sakramentem chrztu.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przedstawia związek wiary chrześcijańskiej z wyjaśnieniem sensu życia człowieka;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religijny wymiar okresu Wielkiego Postu.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25. Kościół uczy zaufania Panu Bogu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(Zapoznanie z sensem korzystania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rekolekcji wielkopostnych)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przejawem odrzucenia Bożego zbawienia jest lekceważenie rekolekcji;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uzasadnia potrzebę korzystania z rekolekcji.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istotę grzechu przeciw Duchowi Świętemu;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grzechy przeciw Duchowi Świętemu.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charakteryzuje relację Bóg –człowiek.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26. Kościół świętuje tajemnice zbawienia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wydarzeń paschalnych jako źródła wiary chrześcijan)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człowiek nawet przez heroiczne czyny miłości nie jest w stanie zapewnić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sobie zbawienia, ponieważ zbawienie jest darem samego Boga;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wyjaśnia sens świętowania Triduum Paschalnego.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potrzebę uczestniczenia w obchodach Triduum Paschalnego;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wydarzenia zbawcze aktualizowane w liturgii Triduum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Paschalnego.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formułuje argumenty za uczestnictwem w liturgii;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przedstawia podstawowe fakty życia i działalności Jezusa Chrystusa w porządku chronologicznym;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religijny wymiar Wielkanocy;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bCs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  <w:t>charakteryzuje relację Bóg – człowiek.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27. Jezus Chrystus uzdrawia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  <w:t>Jednostka powtórkowa – rozdział III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(Odkrywanie prawdy, że Pan Bóg przez Jezusa Chrystusa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sakramentach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uzdrowienia przywraca człowiekowi utracone przez grzech Boże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życie)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dlaczego Pan Bóg przez Jezusa Chrystusa wyzwala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człowieka z niewoli grzechu;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pracuje z obrazem (reprodukcją) przedstawiającym Ukrzyżowanie.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 podstawowe implikacje dla życia chrześcijanina wynikające z Wcielenia i Odkupienia;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cel poszczególnych sakramentów;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historycznym, posługując się poznanymi pojęciami;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odpowiada na proste pytania postawione do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ilustracji;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pozyskuje informacje z rożnych źródeł oraz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selekcjonuje je i porządkuje;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i w piśmie na tematy poruszane na zajęciach;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7F12" w:rsidRPr="00C17F12" w:rsidTr="00E8734B">
        <w:trPr>
          <w:trHeight w:val="698"/>
        </w:trPr>
        <w:tc>
          <w:tcPr>
            <w:tcW w:w="1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suppressAutoHyphens/>
              <w:autoSpaceDE w:val="0"/>
              <w:snapToGrid w:val="0"/>
              <w:jc w:val="center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  <w:t>IV. J</w:t>
            </w: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>ezus Chrystus umacnia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rPr>
          <w:trHeight w:val="21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>28.Jezus uczy służby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NewRomanPSMT" w:hAnsi="Trebuchet MS" w:cs="TimesNewRomanPSMT"/>
                <w:bCs/>
                <w:sz w:val="22"/>
                <w:szCs w:val="22"/>
                <w:lang w:eastAsia="ar-SA"/>
              </w:rPr>
              <w:t>Ukazanie istoty ewangelicznej służby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)</w:t>
            </w: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podaje przykłady z życia Jezusa, które można podpisać Jego słowami: „Dałem wam bowiem przykład, abyście i wy tak czynili, jak Ja wam uczyniłem” (J 13, 15);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na czym polega Jezusowe rozumienie służby.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służba należy do istoty chrześcijaństwa;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interpretuje perykopę J 13, 1-20.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rozumienie pojęcia prawdziwej miłości w różnych aspektach życia ludzkiego.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>29. Jezus umacnia życie małżeńskie i rodzinne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NewRomanPSMT" w:hAnsi="Trebuchet MS" w:cs="TimesNewRomanPSMT"/>
                <w:bCs/>
                <w:sz w:val="22"/>
                <w:szCs w:val="22"/>
                <w:lang w:eastAsia="ar-SA"/>
              </w:rPr>
              <w:t>Zapoznanie  z teologią sakramentu małżeństwa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 dlaczego tak uroczyście ludzie rozpoczynają życie małżeńskie;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cechy małżeństwa katolickiego.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małżeństwo nazywamy wspólną drogą do świętości;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  <w:t>- uzasadnia, że sakrament małżeństwa jest sakramentem  w służbie wspólnoty.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cel poszczególnych sakramentów (małżeństwo);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wartość czystości w różnych okresach życia.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>30. Jezus ubogaca ludzką miłość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 xml:space="preserve">Zapoznanie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z symboliką obrzędów sakramentu małżeństwa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wie, że warunkiem przyjęcia sakramentu małżeństwa jest dobrowolnie wyrażona przed Bogiem i świadkami zgoda nowożeńców, a </w:t>
            </w:r>
            <w:r w:rsidRPr="00C17F12">
              <w:rPr>
                <w:rFonts w:ascii="Trebuchet MS" w:eastAsia="Times New Roman" w:hAnsi="Trebuchet MS" w:cs="SymbolMT"/>
                <w:sz w:val="22"/>
                <w:szCs w:val="22"/>
                <w:lang w:eastAsia="ar-SA"/>
              </w:rPr>
              <w:t>o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becny przy składaniu przysięgi kapłan jest świadkiem zgody narzeczonych bycia mężem i żoną;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  <w:t>- wymienia symbole i znaki towarzyszące obrzędowi udzielania sakramentu małżeństwa.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religijne znaczenie symboli i znaków sakramentu małżeństwa;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rolę symboli (składanie przysięgi małżeńskiej i nałożenie obrączek) w odkrywaniu tajemnicy zbawczego działania Boga w sakramencie małżeństwa.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rebuchet MS"/>
                <w:bCs/>
                <w:sz w:val="22"/>
                <w:szCs w:val="22"/>
                <w:lang w:eastAsia="ar-SA"/>
              </w:rPr>
              <w:t>interpretuje znaki, symbole liturgiczne oraz postawy występujące podczas liturgii.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>31. Jezus uzdalnia do działania w Jego imieniu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 xml:space="preserve">Zapoznanie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z teologią sakramentu święceń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zarówno diakon, kapłan, jak i biskup otrzymali sakrament święceń, chociaż w różnym stopniu;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  <w:t>- wymienia zadania wynikające z sakramentu kapłaństwa.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sakrament święceń nazywamy również sakramentem kapłaństwa;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uzasadnia, że sakrament święceń jest sakramentem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służbie wspólnoty.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cel poszczególnych sakramentów (kapłaństwo);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wartość czystości w różnych okresach życia.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>32. Jezus okazuje troskę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>o zbawienie wszystkich ludzi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Zapoznanie z ideą Niedzieli Dobrego Pasterza.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Pan Jezus posłużył się obrazem pasterza, przekazując ludziom prawdę o sobie i swoim Kościele;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bCs/>
                <w:sz w:val="22"/>
                <w:szCs w:val="22"/>
                <w:lang w:eastAsia="ar-SA"/>
              </w:rPr>
              <w:t>- wyjaśnia znaczenie sakramentów małżeństwa i kapłaństwa dla realizacji życiowych zadań człowieka.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przypowieść o Dobrym Pasterzu (J 10, 7-16);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związki pomiędzy ideą Niedzieli Dobrego Pasterza i sakramentami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służbie wspólnoty.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– charakteryzuje najważniejsze obrazy biblijne Kościoła.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Ottawa-Bold" w:hAnsi="Trebuchet MS" w:cs="Ottawa-Bold"/>
                <w:b/>
                <w:bCs/>
                <w:sz w:val="22"/>
                <w:szCs w:val="22"/>
                <w:lang w:eastAsia="ar-SA"/>
              </w:rPr>
              <w:t xml:space="preserve">33. Jezus Chrystus umacnia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NewRomanPS-BoldMT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-BoldMT" w:hAnsi="Trebuchet MS" w:cs="TimesNewRomanPS-BoldMT"/>
                <w:b/>
                <w:bCs/>
                <w:sz w:val="22"/>
                <w:szCs w:val="22"/>
                <w:lang w:eastAsia="ar-SA"/>
              </w:rPr>
              <w:t>Jednostka powtórkowa – rozdział IV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 xml:space="preserve">(Odkrywanie prawdy, że Pan Bóg przez Jezusa Chrystusa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w sakramentach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NewRomanPSMT" w:hAnsi="Trebuchet MS" w:cs="TimesNewRomanPSMT"/>
                <w:sz w:val="22"/>
                <w:szCs w:val="22"/>
                <w:lang w:eastAsia="ar-SA"/>
              </w:rPr>
              <w:t>w służbie wspólnoty umacnia wierzących do wypełniania życiowego powołania)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 do czego inspirują wierzących sakramenty w służbie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wspólnoty;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pracuje z obrazem (reprodukcją) przedstawiającą umywanie nóg Apostołom przez Jezusa podczas Ostatniej Wieczerzy.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 podstawowe implikacje dla życia chrześcijanina wynikające z Wcielenia i Odkupienia;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historycznym, posługując się poznanymi pojęciami;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odpowiada na proste pytania postawione do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ilustracji;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pozyskuje informacje z rożnych źródeł oraz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selekcjonuje je i porządkuje;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i w piśmie na tematy poruszane na zajęciach;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7F12" w:rsidRPr="00C17F12" w:rsidTr="00E8734B">
        <w:trPr>
          <w:trHeight w:val="925"/>
        </w:trPr>
        <w:tc>
          <w:tcPr>
            <w:tcW w:w="1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jc w:val="center"/>
              <w:rPr>
                <w:rFonts w:ascii="Trebuchet MS" w:eastAsia="SimSu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  <w:t xml:space="preserve">Rozdział V. </w:t>
            </w:r>
            <w:r w:rsidRPr="00C17F12">
              <w:rPr>
                <w:rFonts w:ascii="Trebuchet MS" w:eastAsia="SimSun" w:hAnsi="Trebuchet MS" w:cs="Ottawa-Bold"/>
                <w:b/>
                <w:bCs/>
                <w:sz w:val="22"/>
                <w:szCs w:val="22"/>
                <w:lang w:eastAsia="ar-SA"/>
              </w:rPr>
              <w:t>Człowiek w relacji z Bogiem</w:t>
            </w:r>
          </w:p>
        </w:tc>
      </w:tr>
      <w:tr w:rsidR="00C17F12" w:rsidRPr="00C17F12" w:rsidTr="00E8734B">
        <w:trPr>
          <w:trHeight w:val="12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34. Bóg objawia prawo życia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ideą Dekalogu)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pochodzenie słowa „Dekalog”;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przyporządkowuje przykazania Dekalogu do przedmiotu ich odniesienia.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nadrzędność Dekalogu wobec innych praw;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interpretuje ideę Dekalogu  w kontekście historii zbawienia.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charakteryzuje obowiązki wynikające </w:t>
            </w:r>
          </w:p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 poszczególnych przykazań Bożych;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relację Bóg – człowiek;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prezentuje najważniejsze wyda</w:t>
            </w: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softHyphen/>
              <w:t>rzenia życia wybranych postaci starotestamentalnych (Mojżesz).</w:t>
            </w:r>
          </w:p>
        </w:tc>
      </w:tr>
      <w:tr w:rsidR="00C17F12" w:rsidRPr="00C17F12" w:rsidTr="00E8734B">
        <w:trPr>
          <w:trHeight w:val="159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35. Bóg wyposaża człowieka w zasady życia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(Zapoznanie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pojęciem „prawo naturalne”)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definiuje pojęcia: prawo naturalne, moralność oraz sumienie;  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rolę sumienia w kształtowaniu moralności człowieka.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prawo naturalne stanowi podstawę budowania wspólnoty ludzkiej;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 niezmienność prawa naturalnego.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bCs/>
                <w:sz w:val="22"/>
                <w:szCs w:val="22"/>
                <w:lang w:eastAsia="ar-SA"/>
              </w:rPr>
              <w:t xml:space="preserve">- zna podstawowe pojęcia etyczne: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prawo naturalne, powinność moralna oraz sumienie;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na tematy poruszane na zajęciach.</w:t>
            </w:r>
          </w:p>
        </w:tc>
      </w:tr>
      <w:tr w:rsidR="00C17F12" w:rsidRPr="00C17F12" w:rsidTr="00E8734B">
        <w:trPr>
          <w:trHeight w:val="22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36. Bóg ustala zasady życia człowieka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 xml:space="preserve"> 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pojęciem „prawo objawione”)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definiuje pojęcie „prawo objawione”;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różnice pomiędzy prawem naturalnym i prawem objawionym.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uzasadnia, że w osobie Jezusa Chrystusa Pan Bóg najpełniej objawił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ludziom swoje prawo;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uzasadnia, że zarówno prawo naturalne, jak  i objawione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wskazują ludziom drogę do nieba.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bCs/>
                <w:sz w:val="22"/>
                <w:szCs w:val="22"/>
                <w:lang w:eastAsia="ar-SA"/>
              </w:rPr>
              <w:t xml:space="preserve">- zna podstawowe pojęcia etyczne: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prawo Boże; 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charakteryzuje relację Bóg –człowiek;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dostrzega związki teraźniejszości z przeszłością.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(…)  na tematy poruszane na zajęciach;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37. Bóg domaga się należnej czci 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treścią pierwszego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obowiązki wynikające  z pierwszego przykazania Bożego;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grzechy przeciwko pierwszemu przykazaniu Bożemu.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konieczność stawiania Boga na pierwszym miejscu w życiu;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 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dlaczego noszenie różnego rodzaju znaków  i symboli jest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zagrożeniem wiary chrześcijanina.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charakteryzuje obowiązki wynikające </w:t>
            </w:r>
          </w:p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 poszczególnych przykazań Bożych (przykazanie I);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relację Bóg – człowiek;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analizuje wpływ zabobonu, bałwochwalstwa,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wróżbiarstwa, magii na budowanie właściwych relacji między Bogiem a człowiekiem.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38. Bóg wzywa do poszanowania Jego imienia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treścią drugiego przykazania Bożego</w:t>
            </w: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obowiązki wynikające  z drugiego przykazania Bożego;</w:t>
            </w: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grzechy przeciwko drugiemu przykazaniu Bożemu.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uzasadnia konieczność poszanowania imienia Boga;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 czego wynika i proponuje jak zaradzić nadużywaniu oraz brakowi poszanowania imienia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Bożego w potocznym języku.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charakteryzuje obowiązki wynikające </w:t>
            </w:r>
          </w:p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 poszczególnych przykazań Bożych (przykazanie II);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relację Bóg – człowiek;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przedstawia własne stanowisko i próbuje je uzasadnić;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(…)  na tematy poruszane na zajęciach.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7F12" w:rsidRPr="00C17F12" w:rsidTr="00E8734B">
        <w:trPr>
          <w:trHeight w:val="21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39. Człowiek czci Boga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treścią trzeciego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obowiązki wynikające  z trzeciego przykazania Bożego;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sposoby religijnego obchodzenia dni świętych.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dlaczego katolicy są zobowiązani do uczestnictwa we Mszy Świętej niedzielnej;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uzasadnia, że religijne świętowanie niedzieli służy rozwojowi człowieka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i oddawaniu czci Bogu.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charakteryzuje obowiązki wynikające </w:t>
            </w:r>
          </w:p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 poszczególnych przykazań Bożych (przykazanie III);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ocenia postawy moralne związane z przeżywaniem niedzieli;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wykazuje chrześcijańską i spo</w:t>
            </w: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softHyphen/>
              <w:t>łeczną wartość niedzieli,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relację Bóg – człowiek.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40. Katolik czci Boga z Maryją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Zapoznanie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teologią kultu maryjnego)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przyczyny, dla których wierzący przybywają do sanktuariów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maryjnych;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 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br/>
            </w: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>- wie, że wyrazem związków chrześcijan z Maryją są nabożeństwa ku jej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>czci.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katolicy czczą Maryję;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dlaczego ludzie na różne sposoby przedstawiają Maryję.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bCs/>
                <w:sz w:val="22"/>
                <w:szCs w:val="22"/>
                <w:lang w:eastAsia="ar-SA"/>
              </w:rPr>
              <w:t>- charakteryzuje istotę kultu Maryi;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liturgiczne i paraliturgiczne formy świętowania w poszczególnych okresach liturgicznych;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wyjaśnia rolę sztuki sakralnej w liturgii Kościoła.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41. Człowiek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w relacji z Bogiem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  <w:t>Jednostka powtórkowa – rozdział V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Odkrywanie Dekalogu jako drogowskazu do spotkania z Bogiem)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dlaczego w życiu jest człowiekowi potrzebny autorytet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Boga;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pracuje z obrazem (reprodukcją) przedstawiającą objawienie Mojżeszowi imienia Boga.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prezentuje najważniejsze wydarzenia życia wybranych postaci starotestamentalnych (Mojżesz);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 człowiek;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historycznym, posługując się poznanymi pojęciami;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odpowiada na proste pytania postawione do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ilustracji;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pozyskuje informacje z rożnych źródeł oraz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selekcjonuje je i porządkuje;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i w piśmie na tematy poruszane na zajęciach;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7F12" w:rsidRPr="00C17F12" w:rsidTr="00E8734B">
        <w:tc>
          <w:tcPr>
            <w:tcW w:w="1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jc w:val="center"/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jc w:val="center"/>
              <w:rPr>
                <w:rFonts w:ascii="Trebuchet MS" w:eastAsia="SimSu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  <w:t xml:space="preserve">Rozdział VI. </w:t>
            </w:r>
            <w:r w:rsidRPr="00C17F12">
              <w:rPr>
                <w:rFonts w:ascii="Trebuchet MS" w:eastAsia="SimSun" w:hAnsi="Trebuchet MS" w:cs="Ottawa-Bold"/>
                <w:b/>
                <w:bCs/>
                <w:sz w:val="22"/>
                <w:szCs w:val="22"/>
                <w:lang w:eastAsia="ar-SA"/>
              </w:rPr>
              <w:t>Człowiek w relacji z innymi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jc w:val="center"/>
              <w:rPr>
                <w:rFonts w:ascii="Trebuchet MS" w:eastAsia="SimSun" w:hAnsi="Trebuchet MS" w:cs="Ottawa-Bold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42. Bóg troszczy się o harmonię życia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wymagań Dekalogu jako normy sądu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kryterium sądu Bożego jest miłość;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związek przykazań drugiej tablicy Dekalogu z sądem Bożym.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interpretuje biblijną perykopę o sądzie ostatecznym (Mt 25, 31-46);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przyporządkowuje wymagania poszczególnych przykazań Dekalogu do przekazanych przez Jezusa kryteriów sądu Bożego.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religijnej wybranych fragmentów biblijnych;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interpretuje rozumienie pojęcia prawdziwej miłości w rożnych aspektach życia ludzkiego;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– przedstawia związek wiary chrześcijańskiej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wyjaśnieniem sensu życia człowieka.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43. Bóg umacnia więzi rodzinne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treścią czwartego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przestrzegając przykazań, człowiek wyraża swój stosunek także do Boga;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zakres i znaczenie czwartego przykazania Bożego.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interpretuje czwarte przykazanie w kontekście więzi rodzinnych;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 społeczny i religijny wymiar czwartego przykazania.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z poszczególnych przykazań Bożych (przykazanie IV);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ilustruje właściwe zachowania dzieci względem rodziców.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44. Bóg broni życia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treścią piątego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wymienia grzechy przeciwko piątemu przykazaniu Bożemu;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wie, że troska Boga o ochronę życia ludzkiego wynika z tego, że jest ono święte, gdyż jest darem Świętego Boga.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wymienia zadania wynikające z piątego przykazania Bożego;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związek piątego przykazania z przykazaniem miłości Boga, bliźniego i siebie samego.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z poszczególnych przykazań Bożych (przykazanie V);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uzasadnia świętość życia ludzkiego.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45. Bóg broni cnoty człowieka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treścią szóstego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wymienia grzechy i wykroczenia przeciwko szóstemu przykazaniu Bożemu;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wie, że Pan Bóg  w szóstym przykazaniu w pierwszej kolejności broni wspólnoty małżeńskiej i rodzinnej, ale obowiązuje ono wszystkich ludzi.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wyjaśnia pojęcie „cnota”;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uzasadnia, że seksualność człowieka jest szczególnym sposobem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wyrażania miłości wobec Boga, drugiego człowieka i siebie.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 z poszczególnych przykazań Bożych (przykazanie VI);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wyjaśnia wartość czystości w różnych okresach życia.</w:t>
            </w:r>
          </w:p>
        </w:tc>
      </w:tr>
      <w:tr w:rsidR="00C17F12" w:rsidRPr="00C17F12" w:rsidTr="00E8734B">
        <w:trPr>
          <w:trHeight w:val="18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46. Bóg broni własności człowieka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treścią siódmego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wymienia wykroczenia przeciw przykazaniu „Nie kradnij”;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zewnętrzny i wewnętrzny zakres odpowiedzialności za respektowanie przykazania „Nie kradnij”.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interpretuje rolę siódmego przykazania w budowaniu zaufania społecznego;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związek zobowiązań płynących  z przykazania „Nie kradnij”  z sakramentami Kościoła.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 z poszczególnych przykazań Bożych (przykazanie VII);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cel poszczególnych sakramentów.</w:t>
            </w:r>
          </w:p>
        </w:tc>
      </w:tr>
      <w:tr w:rsidR="00C17F12" w:rsidRPr="00C17F12" w:rsidTr="00E8734B">
        <w:trPr>
          <w:trHeight w:val="2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47. Bóg broni dobrego imienia człowieka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(Zapoznanie 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treścią ósmego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co znaczy, że Pan Bóg w ósmym przykazaniu broni dobrego imienia człowieka;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wymienia wykroczenia przeciw ósmemu przykazaniu; 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br/>
              <w:t>- uzasadnia, dlaczego wykroczenia przeciw ósmemu przykazaniu wymagają</w:t>
            </w: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naprawienia krzywd.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wyjaśnia, dlaczego wierzący ma obowiązek bronić dobrego imienia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drugiego człowieka;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rolę ósmego przykazania w budowaniu zaufania społecznego.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z poszczególnych przykazań Bożych (przykazanie VIII);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analizuje wpływ nieuczciwości, krzywoprzysięstwa i wiarołomstwa na życie religijne człowieka.</w:t>
            </w:r>
          </w:p>
        </w:tc>
      </w:tr>
      <w:tr w:rsidR="00C17F12" w:rsidRPr="00C17F12" w:rsidTr="00E8734B">
        <w:trPr>
          <w:trHeight w:val="19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48. Bóg broni czystości ludzkiego serca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treścią dziewiątego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zobowiązania dziewiątego przykazania Bożego; - wyjaśnia pojęcie „pożądania”  w odniesieniu do dziewiątego przykazania Bożego.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rebuchet MS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uzasadnia potrzebę troski  o czystość serca; 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br/>
              <w:t>- wymienia sposoby współpracy z Bogiem w pielęgnowaniu czystości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serca.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 z poszczególnych przykazań Bożych (przykazanie IX);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wyjaśnia wartość czystości w różnych okresach życia.</w:t>
            </w:r>
          </w:p>
        </w:tc>
      </w:tr>
      <w:tr w:rsidR="00C17F12" w:rsidRPr="00C17F12" w:rsidTr="00E8734B">
        <w:trPr>
          <w:trHeight w:val="23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49. Bóg porządkuje świat ludzkich potrzeb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treścią dziesiątego przykazania Bożego)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definiuje pojęcia „chciwość” i „zazdrość”;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wymienia zobowiązania dziesiątego przykazania Bożego; - wie, że w dziesiątym przykazaniu Pan Bóg domaga się szacunku wobec cudzej własności nie tylko w wymiarze materialnym, ale i duchowym.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zna sposoby radzenia sobie  z chciwością i zazdrością;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 potrzebę troski o porządkowanie potrzeb materialnych.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z poszczególnych przykazań Bożych (przykazanie X);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wykroczenia przeciwko poszczególnym przykazaniom Bożym;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ludzkiego.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50. Wierzący przyjmuje Bożą pomoc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religijną treścią uroczystości Zesłania Ducha Świętego)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świętowanie tajemnicy Zesłania Ducha Świętego uświadamia wierzącym,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że przynależą do Kościoła i uczestniczą w Jego misji od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chwili przyjęcia chrztu świętego; - uzasadnia potrzebę świętowania tajemnicy Zesłania Ducha Świętego.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wyjaśnia znaczenie obchodów uroczystości Zesłania Ducha Świętego dla przygotowujących się do przyjęcia sakramentu bierzmowania;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treść modlitw  z uroczystości Zesłania Ducha Świętego w kontekście wierności Bogu i Jego przykazaniom.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bCs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określa sposób obecności i działania Ducha Świętego w Kościele;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 religijny wymiar świąt Wielkanocy;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formułuje argumenty za uczestnictwem w liturgii.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cel poszczególnych sakramentów.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51. Człowiek w relacji z innymi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  <w:t>Jednostka powtórkowa – rozdział VI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(Odkrywanie Dekalogu jako drogowskazu do spotkania z Bogiem</w:t>
            </w:r>
          </w:p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drugim człowieku)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podaje przykłady jak autorytet Pana Boga pomaga rozwijać relacje z innymi ludźmi;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br/>
              <w:t>- pracuje z obrazem (reprodukcją): Bogacz i Łazarz.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odpowiada na proste pytania postawione do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ilustracji;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pozyskuje informacje z rożnych źródeł oraz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selekcjonuje je i porządkuje;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i w piśmie na tematy poruszane na zajęciach;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 oparciu o posiadaną wiedzę wypracowuje względnie stałe zachowania, reakcje poznawcze, emocjonalnie umotywowane wartościami najwyższymi, odnosząc je zwłaszcza do miłości Boga;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 człowiek.</w:t>
            </w:r>
          </w:p>
        </w:tc>
      </w:tr>
      <w:tr w:rsidR="00C17F12" w:rsidRPr="00C17F12" w:rsidTr="00E8734B">
        <w:tc>
          <w:tcPr>
            <w:tcW w:w="1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autoSpaceDE w:val="0"/>
              <w:jc w:val="center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Rozdział VII. Jezus odsłania tajemnicę szczęścia</w:t>
            </w:r>
          </w:p>
          <w:p w:rsidR="00C17F12" w:rsidRPr="00C17F12" w:rsidRDefault="00C17F12" w:rsidP="00C17F12">
            <w:pPr>
              <w:autoSpaceDE w:val="0"/>
              <w:jc w:val="center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52. Jezus wyjaśnia istotę Dekalogu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 z wyjaśnieniami Jezusa dotyczącymi istoty Dekalogu)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podstawowym motywem ludzkiego działania ma być miłość;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uzasadnia, że przykazanie miłości Boga i bliźniego jest dla chrześcijanina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podstawową zasadą działania.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 xml:space="preserve">-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wyjaśnia, dlaczego chrześcijanin nie może ograniczać się wyłącznie do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zewnętrznego wypełniania nakazów i zakazów Dekalogu; - interpretuje przypowieść  o miłosiernym Samarytaninie.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charakteryzuje obowiązki wynikające 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 poszczególnych przykazań Bożych;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rebuchet MS"/>
                <w:sz w:val="22"/>
                <w:szCs w:val="22"/>
                <w:lang w:eastAsia="ar-SA"/>
              </w:rPr>
              <w:t>- dokonuje interpretacji literackiej i religijnej wybranych fragmentów biblijnych.</w:t>
            </w:r>
          </w:p>
        </w:tc>
      </w:tr>
      <w:tr w:rsidR="00C17F12" w:rsidRPr="00C17F12" w:rsidTr="00E8734B">
        <w:trPr>
          <w:trHeight w:val="21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53. Kościół odkrywa znaczenie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przykazania miłości </w:t>
            </w: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Ukazanie konieczności interpretacji przykazania miłości w perspektywie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nowego przykazania)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miłości nie może się ograniczać do miłowania przyjaciół;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 wynikający z przykazania miłości Boga  i bliźniego obowiązek służby.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definiuje pojęcie służby  w kontekście przykazania miłości Boga i bliźniego oraz „nowego przykazania”;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przykazanie miłości Boga i bliźniego w kontekście służby Ojczyźnie.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charakteryzuje obowiązki wynikające  z poszczególnych przykazań Bożych;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wypracowuje reakcje poznawcze odnosząc je do miłości Ojczyzny.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54. Kościół żyje przykazaniem miłości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(Ukazanie, że świadectwo wierności Bogu jest wyrazem wypełniania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przykazania miłości)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warto podejmować w życiu odważne decyzje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i pozostać wiernym Ewangelii  i własnemu sumieniu, nie zważając na niebezpieczeństwa i przeciwności;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definiuje pojęcie wolności  w kontekście przykazania miłości.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uzasadnia, że Kościół żyje przykazaniem miłości; 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związek przykazania miłości Boga  i bliźniego z nowym przykazaniem.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charakteryzuje obowiązki wynikające 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 poszczególnych przykazań Bożych.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55. Kościół świętuje miłość Boga do ludzi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teologią uroczystości Najświętszego Ciała i Krwi Chrystusa)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elementy obchodów Uroczystości Najświętszego Ciała</w:t>
            </w:r>
            <w:r w:rsidRPr="00C17F12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i Krwi Chrystusa;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wymowę Uroczystości Najświętszego Ciała i Krwi Chrystusa w kontekście przykazania miłości.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wyjaśnia znaczenie elementów obchodów Najświętszego Ciała i Krwi Chrystusa;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argumentuje dlaczego warto uczestniczyć w procesji Bożego Ciała.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interpretuje znaki, symbole liturgiczne oraz postawy występujące podczas liturgii;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rebuchet MS" w:hAnsi="Trebuchet MS" w:cs="Trebuchet MS"/>
                <w:sz w:val="22"/>
                <w:szCs w:val="22"/>
                <w:lang w:eastAsia="ar-SA"/>
              </w:rPr>
              <w:t xml:space="preserve">– 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formułuje argumenty za uczestnictwem w liturgii.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56. Jezus odsłania tajemnicę szczęścia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-BoldMT"/>
                <w:b/>
                <w:bCs/>
                <w:sz w:val="22"/>
                <w:szCs w:val="22"/>
                <w:lang w:eastAsia="ar-SA"/>
              </w:rPr>
              <w:t>Jednostka powtórkowa – rozdział VII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Odkrywanie przykazania miłości jako drogi i warunku osiągnięcia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szczęścia przyniesionego ludziom przez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dlaczego miłość jest jedyną drogą do szczęścia</w:t>
            </w:r>
          </w:p>
          <w:p w:rsidR="00C17F12" w:rsidRPr="00C17F12" w:rsidRDefault="00C17F12" w:rsidP="00C17F12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człowieka; </w:t>
            </w: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pracuje z obrazem (reprodukcją) miłosiernym Samarytanin.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odpowiada na proste pytania postawione do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ilustracji; 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pozyskuje informacje z rożnych źródeł oraz</w:t>
            </w:r>
          </w:p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selekcjonuje je i porządkuje;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rozwija umiejętność wypowiadania się w mowie i w piśmie na tematy poruszane na zajęciach;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dba o poprawność wypowiedzi własnych, a ich formę kształtuje odpowiednio do celu wypowiedzi;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 oparciu o posiadaną wiedzę wypracowuje względnie stałe zachowania, reakcje poznawcze, emocjonalnie umotywowane wartościami najwyższymi, odnosząc je zwłaszcza do miłości Boga.</w:t>
            </w:r>
          </w:p>
        </w:tc>
      </w:tr>
    </w:tbl>
    <w:p w:rsidR="00C17F12" w:rsidRPr="00C17F12" w:rsidRDefault="00C17F12" w:rsidP="00C17F12">
      <w:pPr>
        <w:suppressAutoHyphens/>
        <w:autoSpaceDE w:val="0"/>
        <w:rPr>
          <w:rFonts w:ascii="Trebuchet MS" w:eastAsia="MinionPro-Regular" w:hAnsi="Trebuchet MS" w:cs="MinionPro-Regular"/>
          <w:sz w:val="22"/>
          <w:szCs w:val="22"/>
          <w:lang w:eastAsia="ar-SA"/>
        </w:rPr>
      </w:pPr>
    </w:p>
    <w:p w:rsidR="00C17F12" w:rsidRPr="00C17F12" w:rsidRDefault="00C17F12" w:rsidP="00C17F12">
      <w:pPr>
        <w:suppressAutoHyphens/>
        <w:autoSpaceDE w:val="0"/>
        <w:jc w:val="right"/>
        <w:rPr>
          <w:rFonts w:ascii="Trebuchet MS" w:eastAsia="MinionPro-Regular" w:hAnsi="Trebuchet MS" w:cs="MinionPro-Regular"/>
          <w:sz w:val="22"/>
          <w:szCs w:val="22"/>
          <w:lang w:eastAsia="ar-SA"/>
        </w:rPr>
      </w:pPr>
      <w:r w:rsidRPr="00C17F12">
        <w:rPr>
          <w:rFonts w:ascii="Trebuchet MS" w:eastAsia="MinionPro-Regular" w:hAnsi="Trebuchet MS" w:cs="MinionPro-Regular"/>
          <w:sz w:val="22"/>
          <w:szCs w:val="22"/>
          <w:lang w:eastAsia="ar-SA"/>
        </w:rPr>
        <w:t>Opracował: B. Bester</w:t>
      </w:r>
    </w:p>
    <w:p w:rsidR="00C17F12" w:rsidRPr="00C17F12" w:rsidRDefault="00C17F12" w:rsidP="00C17F12">
      <w:pPr>
        <w:suppressAutoHyphens/>
        <w:autoSpaceDE w:val="0"/>
        <w:jc w:val="both"/>
        <w:rPr>
          <w:rFonts w:ascii="Trebuchet MS" w:eastAsia="MinionPro-Regular" w:hAnsi="Trebuchet MS" w:cs="MinionPro-Regular"/>
          <w:sz w:val="22"/>
          <w:szCs w:val="22"/>
          <w:lang w:eastAsia="ar-SA"/>
        </w:rPr>
      </w:pPr>
      <w:r w:rsidRPr="00C17F12">
        <w:rPr>
          <w:rFonts w:ascii="Trebuchet MS" w:eastAsia="MinionPro-Regular" w:hAnsi="Trebuchet MS" w:cs="MinionPro-Regular"/>
          <w:sz w:val="22"/>
          <w:szCs w:val="22"/>
          <w:lang w:eastAsia="ar-SA"/>
        </w:rPr>
        <w:t>Dodatkowe katechezy na rok 2018/2019 związane z przygotowaniem do bierzmowania:</w:t>
      </w:r>
    </w:p>
    <w:p w:rsidR="00C17F12" w:rsidRPr="00C17F12" w:rsidRDefault="00C17F12" w:rsidP="00C17F12">
      <w:pPr>
        <w:suppressAutoHyphens/>
        <w:rPr>
          <w:rFonts w:eastAsia="Times New Roman" w:cs="Times New Roman"/>
          <w:lang w:eastAsia="ar-SA"/>
        </w:rPr>
      </w:pPr>
    </w:p>
    <w:tbl>
      <w:tblPr>
        <w:tblW w:w="1490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411"/>
        <w:gridCol w:w="3543"/>
        <w:gridCol w:w="3261"/>
        <w:gridCol w:w="5690"/>
      </w:tblGrid>
      <w:tr w:rsidR="00C17F12" w:rsidRPr="00C17F12" w:rsidTr="00E8734B">
        <w:tc>
          <w:tcPr>
            <w:tcW w:w="1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b/>
                <w:sz w:val="22"/>
                <w:szCs w:val="22"/>
                <w:lang w:eastAsia="ar-SA"/>
              </w:rPr>
            </w:pP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b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TimesNewRomanPSMT"/>
                <w:b/>
                <w:sz w:val="22"/>
                <w:szCs w:val="22"/>
                <w:lang w:eastAsia="ar-SA"/>
              </w:rPr>
              <w:t>Jesteśmy świątynią Ducha Świętego</w:t>
            </w:r>
          </w:p>
          <w:p w:rsidR="00C17F12" w:rsidRPr="00C17F12" w:rsidRDefault="00C17F12" w:rsidP="00C17F12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57. Uczyni cię dorosłym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charakteryzuje człowieka dojrzałego,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obrzędy bierzmowania,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symboliczne znaczenie namaszczenia i nałożenia ręki,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sakrament bierzmowania wyciska niezatarte znamię duchowe,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pisze prośbę o udzieleniu mu sakramentu bierzmowania.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wybór imienia na bierzmowanie,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zabiera głos w dyskusji na temat: „Po co bierzmowanie?”.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charakteryzuje cel poszczególnych sakramentów oraz interpretuje wybrane teksty liturgiczne odnoszące się do nich,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charakteryzuje obrzędy bierzmowania,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i uzasadnia miejsce Pisma św. w życiu chrześcijanina.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58. Niezasłużone dary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opowiada o słudze Bożym Franciszku Blachnickim,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dary Ducha Świętego i wyjaśnia je.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charakteryzuje Ruch Światło-Życie,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związek wiary z sakramentem bierzmowania.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opisuje skutki i konsekwencje egzystencjalne bierzmowania,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zaangażowanie chrześcijan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 tworzenie kultury.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59. Sztuka owocnego życia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prezentuje sylwetkę Hanny Chrzanowskiej,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określenie „owocne życie” w świetle Pisma Świętego.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rozróżnia owocność życia dla siebie od owoców życia dla innych,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redaguje poradnik „Sztuka owocnego życia”,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opisuje skutki i konsekwencje egzystencjalne bierzmowania,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zaangażowanie chrześcijan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 tworzenie kultury.</w:t>
            </w:r>
          </w:p>
        </w:tc>
      </w:tr>
      <w:tr w:rsidR="00C17F12" w:rsidRPr="00C17F12" w:rsidTr="00E8734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60. Gdybym nie miał miłości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prezentuje sylwetkę bł. Hanny Chrzanowskiej,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określenie „owocne życie” w świetle Pisma Świętego.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rozróżnia owocność życia dla siebie od owoców życia dla innych,</w:t>
            </w:r>
          </w:p>
          <w:p w:rsidR="00C17F12" w:rsidRPr="00C17F12" w:rsidRDefault="00C17F12" w:rsidP="00C17F12">
            <w:pPr>
              <w:suppressAutoHyphens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redaguje poradnik „Sztuka owocnego życia”,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12" w:rsidRPr="00C17F12" w:rsidRDefault="00C17F12" w:rsidP="00C17F12">
            <w:pPr>
              <w:suppressAutoHyphens/>
              <w:autoSpaceDE w:val="0"/>
              <w:snapToGrid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opisuje skutki i konsekwencje egzystencjalne bierzmowania,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zaangażowanie chrześcijan</w:t>
            </w:r>
          </w:p>
          <w:p w:rsidR="00C17F12" w:rsidRPr="00C17F12" w:rsidRDefault="00C17F12" w:rsidP="00C17F12">
            <w:pPr>
              <w:suppressAutoHyphens/>
              <w:autoSpaceDE w:val="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7F12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 tworzenie kultury.</w:t>
            </w:r>
          </w:p>
        </w:tc>
      </w:tr>
    </w:tbl>
    <w:p w:rsidR="00C17F12" w:rsidRPr="00C17F12" w:rsidRDefault="00C17F12" w:rsidP="00C17F12">
      <w:pPr>
        <w:suppressAutoHyphens/>
        <w:autoSpaceDE w:val="0"/>
        <w:rPr>
          <w:rFonts w:ascii="Trebuchet MS" w:eastAsia="MinionPro-Regular" w:hAnsi="Trebuchet MS" w:cs="MinionPro-Regular"/>
          <w:sz w:val="22"/>
          <w:szCs w:val="22"/>
          <w:lang w:eastAsia="ar-SA"/>
        </w:rPr>
      </w:pPr>
    </w:p>
    <w:p w:rsidR="00861780" w:rsidRDefault="00681B56">
      <w:r>
        <w:t>Katecheta : Kornelia Sobel</w:t>
      </w:r>
    </w:p>
    <w:sectPr w:rsidR="00861780">
      <w:footerReference w:type="default" r:id="rId7"/>
      <w:footnotePr>
        <w:numFmt w:val="chicago"/>
      </w:footnotePr>
      <w:pgSz w:w="16838" w:h="11906" w:orient="landscape"/>
      <w:pgMar w:top="1417" w:right="1417" w:bottom="1473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4D" w:rsidRDefault="001B3A4D">
      <w:r>
        <w:separator/>
      </w:r>
    </w:p>
  </w:endnote>
  <w:endnote w:type="continuationSeparator" w:id="0">
    <w:p w:rsidR="001B3A4D" w:rsidRDefault="001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Ottawa-Bold">
    <w:altName w:val="Times New Roman"/>
    <w:charset w:val="EE"/>
    <w:family w:val="auto"/>
    <w:pitch w:val="default"/>
  </w:font>
  <w:font w:name="TimesNewRomanPS-ItalicMT">
    <w:altName w:val="MS Mincho"/>
    <w:charset w:val="80"/>
    <w:family w:val="auto"/>
    <w:pitch w:val="default"/>
  </w:font>
  <w:font w:name="MinionPro-Bold">
    <w:altName w:val="Times New Roman"/>
    <w:charset w:val="EE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SymbolMT">
    <w:altName w:val="Times New Roman"/>
    <w:charset w:val="EE"/>
    <w:family w:val="auto"/>
    <w:pitch w:val="variable"/>
  </w:font>
  <w:font w:name="MinionPro-Regular">
    <w:altName w:val="MS Gothic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91" w:rsidRDefault="00C17F12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F1A9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4D" w:rsidRDefault="001B3A4D">
      <w:r>
        <w:separator/>
      </w:r>
    </w:p>
  </w:footnote>
  <w:footnote w:type="continuationSeparator" w:id="0">
    <w:p w:rsidR="001B3A4D" w:rsidRDefault="001B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EC"/>
    <w:rsid w:val="001B3A4D"/>
    <w:rsid w:val="003322DF"/>
    <w:rsid w:val="004B20EC"/>
    <w:rsid w:val="004C67B9"/>
    <w:rsid w:val="00681B56"/>
    <w:rsid w:val="00823578"/>
    <w:rsid w:val="00861780"/>
    <w:rsid w:val="00C17F12"/>
    <w:rsid w:val="00DF1A98"/>
    <w:rsid w:val="00E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17F12"/>
  </w:style>
  <w:style w:type="paragraph" w:styleId="Stopka">
    <w:name w:val="footer"/>
    <w:basedOn w:val="Normalny"/>
    <w:link w:val="StopkaZnak"/>
    <w:rsid w:val="00C17F12"/>
    <w:pPr>
      <w:suppressLineNumbers/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C17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C17F12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paragraph" w:customStyle="1" w:styleId="WW-Domylnie1">
    <w:name w:val="WW-Domyślnie1"/>
    <w:rsid w:val="00C17F12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17F12"/>
  </w:style>
  <w:style w:type="paragraph" w:styleId="Stopka">
    <w:name w:val="footer"/>
    <w:basedOn w:val="Normalny"/>
    <w:link w:val="StopkaZnak"/>
    <w:rsid w:val="00C17F12"/>
    <w:pPr>
      <w:suppressLineNumbers/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C17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C17F12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paragraph" w:customStyle="1" w:styleId="WW-Domylnie1">
    <w:name w:val="WW-Domyślnie1"/>
    <w:rsid w:val="00C17F12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5599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</cp:lastModifiedBy>
  <cp:revision>2</cp:revision>
  <dcterms:created xsi:type="dcterms:W3CDTF">2020-01-22T16:42:00Z</dcterms:created>
  <dcterms:modified xsi:type="dcterms:W3CDTF">2020-01-22T16:42:00Z</dcterms:modified>
</cp:coreProperties>
</file>